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6.0" w:type="dxa"/>
        <w:jc w:val="left"/>
        <w:tblInd w:w="-1134.0" w:type="dxa"/>
        <w:tblLayout w:type="fixed"/>
        <w:tblLook w:val="0000"/>
      </w:tblPr>
      <w:tblGrid>
        <w:gridCol w:w="4490"/>
        <w:gridCol w:w="3590"/>
        <w:gridCol w:w="2646"/>
        <w:tblGridChange w:id="0">
          <w:tblGrid>
            <w:gridCol w:w="4490"/>
            <w:gridCol w:w="3590"/>
            <w:gridCol w:w="264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-272414</wp:posOffset>
                  </wp:positionV>
                  <wp:extent cx="3145155" cy="600710"/>
                  <wp:effectExtent b="0" l="0" r="0" t="0"/>
                  <wp:wrapNone/>
                  <wp:docPr id="102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155" cy="6007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</w:rPr>
              <w:drawing>
                <wp:inline distB="0" distT="0" distL="114300" distR="114300">
                  <wp:extent cx="1544955" cy="523875"/>
                  <wp:effectExtent b="0" l="0" r="0" t="0"/>
                  <wp:docPr id="102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955" cy="523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1180147" cy="669337"/>
                  <wp:effectExtent b="0" l="0" r="0" t="0"/>
                  <wp:docPr id="102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47" cy="6693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  <w:tab w:val="left" w:leader="none" w:pos="42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3.0" w:type="dxa"/>
        <w:jc w:val="left"/>
        <w:tblInd w:w="-142.0" w:type="dxa"/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Certificat Sènior de la UOM als Pobles de Mallorca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1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Universitat Oberta per a Majors a </w:t>
            </w:r>
            <w:r w:rsidDel="00000000" w:rsidR="00000000" w:rsidRPr="00000000">
              <w:rPr>
                <w:b w:val="1"/>
                <w:i w:val="1"/>
                <w:sz w:val="36"/>
                <w:szCs w:val="36"/>
                <w:rtl w:val="0"/>
              </w:rPr>
              <w:t xml:space="preserve">Campanet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right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ANY ACADÈMIC</w:t>
      </w:r>
      <w:r w:rsidDel="00000000" w:rsidR="00000000" w:rsidRPr="00000000">
        <w:rPr>
          <w:b w:val="1"/>
          <w:vertAlign w:val="baseline"/>
          <w:rtl w:val="0"/>
        </w:rPr>
        <w:t xml:space="preserve">: 2023-24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Dades personals</w:t>
      </w:r>
      <w:r w:rsidDel="00000000" w:rsidR="00000000" w:rsidRPr="00000000">
        <w:rPr>
          <w:rtl w:val="0"/>
        </w:rPr>
      </w:r>
    </w:p>
    <w:tbl>
      <w:tblPr>
        <w:tblStyle w:val="Table3"/>
        <w:tblW w:w="9001.0" w:type="dxa"/>
        <w:jc w:val="left"/>
        <w:tblInd w:w="-70.0" w:type="dxa"/>
        <w:tblLayout w:type="fixed"/>
        <w:tblLook w:val="0000"/>
      </w:tblPr>
      <w:tblGrid>
        <w:gridCol w:w="1134"/>
        <w:gridCol w:w="141"/>
        <w:gridCol w:w="284"/>
        <w:gridCol w:w="283"/>
        <w:gridCol w:w="1276"/>
        <w:gridCol w:w="1276"/>
        <w:gridCol w:w="1063"/>
        <w:gridCol w:w="638"/>
        <w:gridCol w:w="18"/>
        <w:gridCol w:w="2888"/>
        <w:tblGridChange w:id="0">
          <w:tblGrid>
            <w:gridCol w:w="1134"/>
            <w:gridCol w:w="141"/>
            <w:gridCol w:w="284"/>
            <w:gridCol w:w="283"/>
            <w:gridCol w:w="1276"/>
            <w:gridCol w:w="1276"/>
            <w:gridCol w:w="1063"/>
            <w:gridCol w:w="638"/>
            <w:gridCol w:w="18"/>
            <w:gridCol w:w="2888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Cognoms: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DNI: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Adreça:</w:t>
            </w:r>
          </w:p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CP: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F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52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Telèfon particular: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Telèfon mòbil: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Adreça electrònica (E-mail)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Estat civil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fadrí/-ina              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casat/-da              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convivència en parella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separat/-da           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divorciat/-da        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vidu / vídua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9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Sexe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home                    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dona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A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naixement: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Edat: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Estudis realitzats:</w:t>
            </w:r>
          </w:p>
          <w:p w:rsidR="00000000" w:rsidDel="00000000" w:rsidP="00000000" w:rsidRDefault="00000000" w:rsidRPr="00000000" w14:paraId="000000C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sense estudis            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Estudis primaris         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Estudis secundaris</w:t>
            </w:r>
          </w:p>
          <w:p w:rsidR="00000000" w:rsidDel="00000000" w:rsidP="00000000" w:rsidRDefault="00000000" w:rsidRPr="00000000" w14:paraId="000000C3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Batxiller elemental  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Batxiller superior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Formació professional</w:t>
            </w:r>
          </w:p>
          <w:p w:rsidR="00000000" w:rsidDel="00000000" w:rsidP="00000000" w:rsidRDefault="00000000" w:rsidRPr="00000000" w14:paraId="000000C4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Estudis universitaris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Altres:_________________________________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Situació</w:t>
            </w:r>
          </w:p>
          <w:p w:rsidR="00000000" w:rsidDel="00000000" w:rsidP="00000000" w:rsidRDefault="00000000" w:rsidRPr="00000000" w14:paraId="000000D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laboral:</w:t>
            </w:r>
          </w:p>
          <w:p w:rsidR="00000000" w:rsidDel="00000000" w:rsidP="00000000" w:rsidRDefault="00000000" w:rsidRPr="00000000" w14:paraId="000000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Actiu; professió:_________________________________________</w:t>
            </w:r>
          </w:p>
          <w:p w:rsidR="00000000" w:rsidDel="00000000" w:rsidP="00000000" w:rsidRDefault="00000000" w:rsidRPr="00000000" w14:paraId="000000DB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Prejubilat/-da          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Jubilat/-da                   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Incapacitat/-da</w:t>
            </w:r>
          </w:p>
          <w:p w:rsidR="00000000" w:rsidDel="00000000" w:rsidP="00000000" w:rsidRDefault="00000000" w:rsidRPr="00000000" w14:paraId="000000DC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Feines de casa         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Altres:________________________________</w:t>
            </w:r>
          </w:p>
        </w:tc>
      </w:tr>
    </w:tbl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50.8661417322827" w:firstLine="0"/>
        <w:jc w:val="both"/>
        <w:rPr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dades recopilades mitjançant aquest full seran incorporades al fitxer d’alumnes, que té com a finalitat la gestió acadèmica i liquidació de taxes. El responsable d’aquest fitxer és la Gerència de la Universitat de les Illes Balears. Els/Les alumnes, en els casos previst als articles 15 i 16 de la llei orgánica15/1999, de 13 de desembre, de Protecció de dades de caràcter personal, tenen dret a accedir a les dades emmagatzemades dins aquest fitxer, així com a sol·licitar-ne la rectificació i/o cancel·lació a la Gerència de la Universitat de les Illes Balears. Altres possibles destinataris d’aquestes dades : el Ministeri d’Educació i Ciència i altres universitats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426" w:firstLine="0"/>
        <w:jc w:val="right"/>
        <w:rPr>
          <w:vertAlign w:val="baseline"/>
        </w:rPr>
      </w:pPr>
      <w:r w:rsidDel="00000000" w:rsidR="00000000" w:rsidRPr="00000000">
        <w:rPr>
          <w:rtl w:val="0"/>
        </w:rPr>
        <w:t xml:space="preserve">Campanet </w:t>
      </w:r>
      <w:r w:rsidDel="00000000" w:rsidR="00000000" w:rsidRPr="00000000">
        <w:rPr>
          <w:vertAlign w:val="baseline"/>
          <w:rtl w:val="0"/>
        </w:rPr>
        <w:t xml:space="preserve">,           de                                  de 2024</w:t>
      </w:r>
    </w:p>
    <w:sectPr>
      <w:headerReference r:id="rId10" w:type="default"/>
      <w:footerReference r:id="rId11" w:type="default"/>
      <w:pgSz w:h="16837" w:w="11905" w:orient="portrait"/>
      <w:pgMar w:bottom="993" w:top="426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Edifici Sa Riera</w:t>
    </w:r>
  </w:p>
  <w:p w:rsidR="00000000" w:rsidDel="00000000" w:rsidP="00000000" w:rsidRDefault="00000000" w:rsidRPr="00000000" w14:paraId="000000E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C/ Miquel dels Sants Oliver, 2</w:t>
    </w:r>
  </w:p>
  <w:p w:rsidR="00000000" w:rsidDel="00000000" w:rsidP="00000000" w:rsidRDefault="00000000" w:rsidRPr="00000000" w14:paraId="000000E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CP 07122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1418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cs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character" w:styleId="Lletraperdefectedelparàgraf">
    <w:name w:val="Lletra per defecte del paràgraf"/>
    <w:next w:val="Lletraperdefectedelparàgraf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ulanormal">
    <w:name w:val="Taula normal"/>
    <w:next w:val="Tau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u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>
    <w:name w:val="Sense llista"/>
    <w:next w:val="Sensel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pçalament">
    <w:name w:val="Encapçalament"/>
    <w:basedOn w:val="Normal"/>
    <w:next w:val="Textindependen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independent">
    <w:name w:val="Text independent"/>
    <w:basedOn w:val="Normal"/>
    <w:next w:val="Textindependen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" w:cs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Llista">
    <w:name w:val="Llista"/>
    <w:basedOn w:val="Textindependent"/>
    <w:next w:val="L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" w:cs="Tahoma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Llegenda1">
    <w:name w:val="Llegenda1"/>
    <w:basedOn w:val="Normal"/>
    <w:next w:val="Llegend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" w:cs="Tahoma" w:eastAsia="Times" w:hAnsi="Times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ex">
    <w:name w:val="Índex"/>
    <w:basedOn w:val="Normal"/>
    <w:next w:val="Í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cs="Tahoma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Capçalera">
    <w:name w:val="Capçalera"/>
    <w:basedOn w:val="Normal"/>
    <w:next w:val="Capçalera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cs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" w:cs="Times" w:eastAsia="Times" w:hAnsi="Times"/>
      <w:b w:val="1"/>
      <w:w w:val="100"/>
      <w:position w:val="-1"/>
      <w:sz w:val="36"/>
      <w:effect w:val="none"/>
      <w:vertAlign w:val="baseline"/>
      <w:cs w:val="0"/>
      <w:em w:val="none"/>
      <w:lang w:bidi="ar-SA" w:eastAsia="ar-SA" w:val="ca-ES"/>
    </w:rPr>
  </w:style>
  <w:style w:type="paragraph" w:styleId="Peu">
    <w:name w:val="Peu"/>
    <w:basedOn w:val="Normal"/>
    <w:next w:val="Peu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cs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Sagniadetextindependent">
    <w:name w:val="Sagnia de text independent"/>
    <w:basedOn w:val="Normal"/>
    <w:next w:val="Sagniadetextindependent"/>
    <w:autoRedefine w:val="0"/>
    <w:hidden w:val="0"/>
    <w:qFormat w:val="0"/>
    <w:pPr>
      <w:widowControl w:val="0"/>
      <w:suppressAutoHyphens w:val="0"/>
      <w:spacing w:line="1" w:lineRule="atLeast"/>
      <w:ind w:left="426" w:right="0" w:leftChars="-1" w:rightChars="0" w:firstLine="0" w:firstLineChars="-1"/>
      <w:jc w:val="both"/>
      <w:textDirection w:val="btLr"/>
      <w:textAlignment w:val="top"/>
      <w:outlineLvl w:val="0"/>
    </w:pPr>
    <w:rPr>
      <w:rFonts w:ascii="Times" w:cs="Times" w:eastAsia="Times" w:hAnsi="Times"/>
      <w:w w:val="100"/>
      <w:position w:val="-1"/>
      <w:sz w:val="20"/>
      <w:effect w:val="none"/>
      <w:vertAlign w:val="baseline"/>
      <w:cs w:val="0"/>
      <w:em w:val="none"/>
      <w:lang w:bidi="ar-SA" w:eastAsia="ar-SA" w:val="es-ES"/>
    </w:rPr>
  </w:style>
  <w:style w:type="paragraph" w:styleId="Contingutdelmarc">
    <w:name w:val="Contingut del marc"/>
    <w:basedOn w:val="Textindependent"/>
    <w:next w:val="Contingutdelmarc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" w:cs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Contingutdelataula">
    <w:name w:val="Contingut de la taula"/>
    <w:basedOn w:val="Normal"/>
    <w:next w:val="Contingutdelatau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cs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Encapçalamentdelataula">
    <w:name w:val="Encapçalament de la taula"/>
    <w:basedOn w:val="Contingutdelataula"/>
    <w:next w:val="Encapçalamentdelatau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" w:cs="Times" w:eastAsia="Times" w:hAnsi="Times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table" w:styleId="Taulaambquadrícula">
    <w:name w:val="Taula amb quadrícula"/>
    <w:basedOn w:val="Taulanormal"/>
    <w:next w:val="Taulaambquadrícul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ulaambq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apçaleraCar">
    <w:name w:val="Capçalera Car"/>
    <w:next w:val="CapçaleraCar"/>
    <w:autoRedefine w:val="0"/>
    <w:hidden w:val="0"/>
    <w:qFormat w:val="0"/>
    <w:rPr>
      <w:rFonts w:ascii="Times" w:cs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AZHshBcOk7x8IAHOSJeARWThTA==">CgMxLjA4AHIhMUtYVlotSFNkMURtV19Zdk9jQkstTzlOX0VYUUVxakY5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2024-02-09T11:22:00Z</dcterms:created>
  <dc:creator>Raquel Torres</dc:creator>
</cp:coreProperties>
</file>